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399E" w14:textId="77777777" w:rsidR="007E649B" w:rsidRDefault="007E649B" w:rsidP="007E649B"/>
    <w:tbl>
      <w:tblPr>
        <w:tblStyle w:val="TableGrid"/>
        <w:tblpPr w:leftFromText="187" w:rightFromText="187" w:vertAnchor="text" w:horzAnchor="margin" w:tblpXSpec="center" w:tblpY="59"/>
        <w:tblOverlap w:val="never"/>
        <w:tblW w:w="0" w:type="auto"/>
        <w:tblLook w:val="04A0" w:firstRow="1" w:lastRow="0" w:firstColumn="1" w:lastColumn="0" w:noHBand="0" w:noVBand="1"/>
      </w:tblPr>
      <w:tblGrid>
        <w:gridCol w:w="2106"/>
        <w:gridCol w:w="5652"/>
      </w:tblGrid>
      <w:tr w:rsidR="007E649B" w14:paraId="323F7B3A" w14:textId="77777777" w:rsidTr="00D77263">
        <w:tc>
          <w:tcPr>
            <w:tcW w:w="2106" w:type="dxa"/>
          </w:tcPr>
          <w:p w14:paraId="70A814D3" w14:textId="77777777" w:rsidR="007E649B" w:rsidRDefault="007E649B" w:rsidP="00D77263">
            <w:r>
              <w:rPr>
                <w:noProof/>
                <w:lang w:eastAsia="en-US"/>
              </w:rPr>
              <w:drawing>
                <wp:inline distT="0" distB="0" distL="0" distR="0" wp14:anchorId="7E62D84E" wp14:editId="31111908">
                  <wp:extent cx="1181100" cy="1053643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58" cy="10571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7B33C5DB" w14:textId="77777777" w:rsidR="007E649B" w:rsidRPr="00E30720" w:rsidRDefault="007E649B" w:rsidP="00D77263">
            <w:pPr>
              <w:rPr>
                <w:rFonts w:cs="Shruti"/>
              </w:rPr>
            </w:pPr>
            <w:r w:rsidRPr="00E30720">
              <w:rPr>
                <w:rFonts w:cs="Shruti"/>
              </w:rPr>
              <w:t>Town of Hillsborough</w:t>
            </w:r>
            <w:r w:rsidRPr="00E30720">
              <w:rPr>
                <w:rFonts w:cs="Shruti"/>
              </w:rPr>
              <w:tab/>
            </w:r>
            <w:r w:rsidRPr="00E30720">
              <w:rPr>
                <w:rFonts w:cs="Shruti"/>
              </w:rPr>
              <w:tab/>
            </w:r>
          </w:p>
          <w:p w14:paraId="70A54AED" w14:textId="168483A0" w:rsidR="00DB1764" w:rsidRDefault="00DB1764" w:rsidP="00D77263">
            <w:pPr>
              <w:rPr>
                <w:rFonts w:cs="Shruti"/>
              </w:rPr>
            </w:pPr>
            <w:r>
              <w:rPr>
                <w:rFonts w:cs="Shruti"/>
              </w:rPr>
              <w:t>Zoning Board of Adjustment</w:t>
            </w:r>
          </w:p>
          <w:p w14:paraId="34004636" w14:textId="1143C9E7" w:rsidR="007E649B" w:rsidRPr="00E30720" w:rsidRDefault="007E649B" w:rsidP="00D77263">
            <w:pPr>
              <w:rPr>
                <w:rFonts w:cs="Shruti"/>
              </w:rPr>
            </w:pPr>
            <w:r w:rsidRPr="00E30720">
              <w:rPr>
                <w:rFonts w:cs="Shruti"/>
              </w:rPr>
              <w:t>27 School Street</w:t>
            </w:r>
          </w:p>
          <w:p w14:paraId="09926348" w14:textId="77777777" w:rsidR="007E649B" w:rsidRPr="00E30720" w:rsidRDefault="007E649B" w:rsidP="00D77263">
            <w:pPr>
              <w:rPr>
                <w:rFonts w:cs="Shruti"/>
              </w:rPr>
            </w:pPr>
            <w:r w:rsidRPr="00E30720">
              <w:rPr>
                <w:rFonts w:cs="Shruti"/>
              </w:rPr>
              <w:t>P.O. Box 7</w:t>
            </w:r>
          </w:p>
          <w:p w14:paraId="4FF77694" w14:textId="77777777" w:rsidR="007E649B" w:rsidRPr="00E30720" w:rsidRDefault="007E649B" w:rsidP="00D77263">
            <w:pPr>
              <w:rPr>
                <w:rFonts w:cs="Shruti"/>
              </w:rPr>
            </w:pPr>
            <w:r w:rsidRPr="00E30720">
              <w:rPr>
                <w:rFonts w:cs="Shruti"/>
              </w:rPr>
              <w:t>Hillsborough, NH  03244</w:t>
            </w:r>
            <w:r w:rsidRPr="00E30720">
              <w:rPr>
                <w:rFonts w:cs="Shruti"/>
              </w:rPr>
              <w:tab/>
            </w:r>
          </w:p>
          <w:p w14:paraId="638CF929" w14:textId="77777777" w:rsidR="007E649B" w:rsidRDefault="007E649B" w:rsidP="00D77263">
            <w:r w:rsidRPr="00E30720">
              <w:rPr>
                <w:rFonts w:cs="Shruti"/>
              </w:rPr>
              <w:t xml:space="preserve">(603) 464-3877  </w:t>
            </w:r>
          </w:p>
        </w:tc>
      </w:tr>
    </w:tbl>
    <w:p w14:paraId="48673809" w14:textId="77777777" w:rsidR="007E649B" w:rsidRDefault="007E649B" w:rsidP="007E649B"/>
    <w:p w14:paraId="3ADD948D" w14:textId="77777777" w:rsidR="007E649B" w:rsidRDefault="007E649B" w:rsidP="007E649B">
      <w:pPr>
        <w:rPr>
          <w:b/>
        </w:rPr>
      </w:pPr>
    </w:p>
    <w:p w14:paraId="6198B28C" w14:textId="77777777" w:rsidR="007E649B" w:rsidRDefault="007E649B" w:rsidP="007E649B">
      <w:pPr>
        <w:rPr>
          <w:b/>
        </w:rPr>
      </w:pPr>
    </w:p>
    <w:p w14:paraId="3A069015" w14:textId="77777777" w:rsidR="007E649B" w:rsidRDefault="007E649B" w:rsidP="007E649B">
      <w:pPr>
        <w:rPr>
          <w:b/>
        </w:rPr>
      </w:pPr>
    </w:p>
    <w:p w14:paraId="28D24CB3" w14:textId="77777777" w:rsidR="007E649B" w:rsidRDefault="007E649B" w:rsidP="007E649B">
      <w:pPr>
        <w:rPr>
          <w:b/>
        </w:rPr>
      </w:pPr>
    </w:p>
    <w:p w14:paraId="26D5250D" w14:textId="77777777" w:rsidR="007E649B" w:rsidRDefault="007E649B" w:rsidP="007E649B">
      <w:pPr>
        <w:rPr>
          <w:b/>
        </w:rPr>
      </w:pPr>
    </w:p>
    <w:p w14:paraId="59FB3C23" w14:textId="77777777" w:rsidR="007E649B" w:rsidRDefault="007E649B" w:rsidP="007E649B">
      <w:pPr>
        <w:rPr>
          <w:b/>
        </w:rPr>
      </w:pPr>
    </w:p>
    <w:p w14:paraId="163EF172" w14:textId="77777777" w:rsidR="007E649B" w:rsidRPr="00C80F38" w:rsidRDefault="007E649B" w:rsidP="007E649B">
      <w:pPr>
        <w:rPr>
          <w:b/>
        </w:rPr>
      </w:pPr>
    </w:p>
    <w:p w14:paraId="07C15704" w14:textId="77777777" w:rsidR="007E649B" w:rsidRPr="00C80F38" w:rsidRDefault="007E649B" w:rsidP="007E649B">
      <w:pPr>
        <w:jc w:val="center"/>
        <w:rPr>
          <w:b/>
        </w:rPr>
      </w:pPr>
      <w:r w:rsidRPr="00C80F38">
        <w:rPr>
          <w:b/>
        </w:rPr>
        <w:t>NOTICE OF DECISION</w:t>
      </w:r>
    </w:p>
    <w:p w14:paraId="1F33FB90" w14:textId="7690B036" w:rsidR="007E649B" w:rsidRPr="00C80F38" w:rsidRDefault="00B147D3" w:rsidP="007E649B">
      <w:pPr>
        <w:jc w:val="center"/>
      </w:pPr>
      <w:r>
        <w:rPr>
          <w:b/>
        </w:rPr>
        <w:t>October 21</w:t>
      </w:r>
      <w:r w:rsidR="007E5D75">
        <w:rPr>
          <w:b/>
        </w:rPr>
        <w:t>,</w:t>
      </w:r>
      <w:r w:rsidR="007E649B" w:rsidRPr="00C80F38">
        <w:rPr>
          <w:b/>
        </w:rPr>
        <w:t xml:space="preserve"> 202</w:t>
      </w:r>
      <w:r w:rsidR="00CD6ABC">
        <w:rPr>
          <w:b/>
        </w:rPr>
        <w:t>4</w:t>
      </w:r>
    </w:p>
    <w:p w14:paraId="19A2B728" w14:textId="06E8B941" w:rsidR="007E5D75" w:rsidRPr="007E5D75" w:rsidRDefault="007E5D75" w:rsidP="007E5D75">
      <w:pPr>
        <w:widowControl/>
        <w:suppressAutoHyphens w:val="0"/>
        <w:autoSpaceDE/>
        <w:rPr>
          <w:b/>
          <w:bCs/>
          <w:color w:val="000000"/>
          <w:lang w:eastAsia="en-US"/>
        </w:rPr>
      </w:pPr>
      <w:r w:rsidRPr="007E5D75">
        <w:rPr>
          <w:b/>
          <w:bCs/>
          <w:color w:val="000000"/>
          <w:lang w:eastAsia="en-US"/>
        </w:rPr>
        <w:t xml:space="preserve">Case </w:t>
      </w:r>
      <w:r w:rsidRPr="007E5D75">
        <w:rPr>
          <w:color w:val="000000"/>
          <w:lang w:eastAsia="en-US"/>
        </w:rPr>
        <w:t>202</w:t>
      </w:r>
      <w:r w:rsidR="00CD6ABC">
        <w:rPr>
          <w:color w:val="000000"/>
          <w:lang w:eastAsia="en-US"/>
        </w:rPr>
        <w:t>4-</w:t>
      </w:r>
      <w:r w:rsidR="00503B1A">
        <w:rPr>
          <w:color w:val="000000"/>
          <w:lang w:eastAsia="en-US"/>
        </w:rPr>
        <w:t>1</w:t>
      </w:r>
      <w:r w:rsidR="007833A9">
        <w:rPr>
          <w:color w:val="000000"/>
          <w:lang w:eastAsia="en-US"/>
        </w:rPr>
        <w:t>0</w:t>
      </w:r>
    </w:p>
    <w:p w14:paraId="12593268" w14:textId="0B69019D" w:rsidR="007E5D75" w:rsidRPr="007E5D75" w:rsidRDefault="004A4EE8" w:rsidP="007E5D75">
      <w:pPr>
        <w:widowControl/>
        <w:suppressAutoHyphens w:val="0"/>
        <w:autoSpaceDE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Variance</w:t>
      </w:r>
    </w:p>
    <w:p w14:paraId="02EF6E17" w14:textId="5546F1FA" w:rsidR="007E5D75" w:rsidRPr="007E5D75" w:rsidRDefault="007833A9" w:rsidP="007E5D75">
      <w:pPr>
        <w:widowControl/>
        <w:suppressAutoHyphens w:val="0"/>
        <w:autoSpaceDE/>
        <w:rPr>
          <w:color w:val="000000"/>
          <w:lang w:eastAsia="en-US"/>
        </w:rPr>
      </w:pPr>
      <w:r>
        <w:rPr>
          <w:color w:val="000000"/>
          <w:lang w:eastAsia="en-US"/>
        </w:rPr>
        <w:t>116 Emerald Drive</w:t>
      </w:r>
      <w:r w:rsidR="007A557D">
        <w:rPr>
          <w:color w:val="000000"/>
          <w:lang w:eastAsia="en-US"/>
        </w:rPr>
        <w:t xml:space="preserve"> </w:t>
      </w:r>
      <w:r w:rsidR="007E5D75" w:rsidRPr="007E5D75">
        <w:rPr>
          <w:color w:val="000000"/>
          <w:lang w:eastAsia="en-US"/>
        </w:rPr>
        <w:t xml:space="preserve">(Map </w:t>
      </w:r>
      <w:r>
        <w:rPr>
          <w:color w:val="000000"/>
          <w:lang w:eastAsia="en-US"/>
        </w:rPr>
        <w:t>17</w:t>
      </w:r>
      <w:r w:rsidR="007E5D75" w:rsidRPr="007E5D75">
        <w:rPr>
          <w:color w:val="000000"/>
          <w:lang w:eastAsia="en-US"/>
        </w:rPr>
        <w:t xml:space="preserve"> Lot </w:t>
      </w:r>
      <w:r>
        <w:rPr>
          <w:color w:val="000000"/>
          <w:lang w:eastAsia="en-US"/>
        </w:rPr>
        <w:t>206</w:t>
      </w:r>
      <w:r w:rsidR="007E5D75" w:rsidRPr="007E5D75">
        <w:rPr>
          <w:color w:val="000000"/>
          <w:lang w:eastAsia="en-US"/>
        </w:rPr>
        <w:t>)</w:t>
      </w:r>
    </w:p>
    <w:p w14:paraId="4841F11E" w14:textId="7A7B7CA2" w:rsidR="00554B71" w:rsidRDefault="007833A9" w:rsidP="007E5D75">
      <w:pPr>
        <w:widowControl/>
        <w:suppressAutoHyphens w:val="0"/>
        <w:autoSpaceDE/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Tony and Kelly Zinn</w:t>
      </w:r>
    </w:p>
    <w:p w14:paraId="7B313B3D" w14:textId="436F49A9" w:rsidR="007E5D75" w:rsidRDefault="007E5D75" w:rsidP="007E5D75">
      <w:pPr>
        <w:widowControl/>
        <w:suppressAutoHyphens w:val="0"/>
        <w:autoSpaceDE/>
        <w:spacing w:after="160" w:line="259" w:lineRule="auto"/>
        <w:rPr>
          <w:rFonts w:eastAsiaTheme="minorHAnsi"/>
          <w:lang w:eastAsia="en-US"/>
        </w:rPr>
      </w:pPr>
      <w:r w:rsidRPr="007E5D75">
        <w:rPr>
          <w:rFonts w:eastAsiaTheme="minorHAnsi"/>
          <w:lang w:eastAsia="en-US"/>
        </w:rPr>
        <w:t xml:space="preserve">On </w:t>
      </w:r>
      <w:r w:rsidR="004A4EE8">
        <w:rPr>
          <w:rFonts w:eastAsiaTheme="minorHAnsi"/>
          <w:lang w:eastAsia="en-US"/>
        </w:rPr>
        <w:t>October</w:t>
      </w:r>
      <w:r w:rsidR="00503B1A">
        <w:rPr>
          <w:rFonts w:eastAsiaTheme="minorHAnsi"/>
          <w:lang w:eastAsia="en-US"/>
        </w:rPr>
        <w:t xml:space="preserve"> </w:t>
      </w:r>
      <w:r w:rsidR="004A4EE8">
        <w:rPr>
          <w:rFonts w:eastAsiaTheme="minorHAnsi"/>
          <w:lang w:eastAsia="en-US"/>
        </w:rPr>
        <w:t>21,</w:t>
      </w:r>
      <w:r w:rsidRPr="007E5D75">
        <w:rPr>
          <w:rFonts w:eastAsiaTheme="minorHAnsi"/>
          <w:lang w:eastAsia="en-US"/>
        </w:rPr>
        <w:t xml:space="preserve"> 202</w:t>
      </w:r>
      <w:r w:rsidR="00C51423">
        <w:rPr>
          <w:rFonts w:eastAsiaTheme="minorHAnsi"/>
          <w:lang w:eastAsia="en-US"/>
        </w:rPr>
        <w:t>4</w:t>
      </w:r>
      <w:r w:rsidRPr="007E5D75">
        <w:rPr>
          <w:rFonts w:eastAsiaTheme="minorHAnsi"/>
          <w:lang w:eastAsia="en-US"/>
        </w:rPr>
        <w:t>, the Zoning Board of Adjustment of the Town of Hillsborough held a public hearing on</w:t>
      </w:r>
      <w:r w:rsidR="00CD6ABC">
        <w:rPr>
          <w:rFonts w:eastAsiaTheme="minorHAnsi"/>
          <w:lang w:eastAsia="en-US"/>
        </w:rPr>
        <w:t xml:space="preserve"> </w:t>
      </w:r>
      <w:r w:rsidR="00B677CC">
        <w:rPr>
          <w:rFonts w:eastAsiaTheme="minorHAnsi"/>
          <w:lang w:eastAsia="en-US"/>
        </w:rPr>
        <w:t>two</w:t>
      </w:r>
      <w:r w:rsidR="00CD6ABC">
        <w:rPr>
          <w:rFonts w:eastAsiaTheme="minorHAnsi"/>
          <w:lang w:eastAsia="en-US"/>
        </w:rPr>
        <w:t xml:space="preserve"> </w:t>
      </w:r>
      <w:r w:rsidR="004A4EE8">
        <w:rPr>
          <w:rFonts w:eastAsiaTheme="minorHAnsi"/>
          <w:lang w:eastAsia="en-US"/>
        </w:rPr>
        <w:t>variance</w:t>
      </w:r>
      <w:r w:rsidR="00B677CC">
        <w:rPr>
          <w:rFonts w:eastAsiaTheme="minorHAnsi"/>
          <w:lang w:eastAsia="en-US"/>
        </w:rPr>
        <w:t>s</w:t>
      </w:r>
      <w:r w:rsidR="004A4EE8">
        <w:rPr>
          <w:rFonts w:eastAsiaTheme="minorHAnsi"/>
          <w:lang w:eastAsia="en-US"/>
        </w:rPr>
        <w:t xml:space="preserve"> </w:t>
      </w:r>
      <w:r w:rsidR="00CD6ABC" w:rsidRPr="007E5D75">
        <w:rPr>
          <w:rFonts w:eastAsiaTheme="minorHAnsi"/>
          <w:lang w:eastAsia="en-US"/>
        </w:rPr>
        <w:t xml:space="preserve">as allowed under </w:t>
      </w:r>
      <w:r w:rsidR="00CD6ABC">
        <w:rPr>
          <w:rFonts w:eastAsiaTheme="minorHAnsi"/>
          <w:lang w:eastAsia="en-US"/>
        </w:rPr>
        <w:t xml:space="preserve">RSA 674:33-a submitted by </w:t>
      </w:r>
      <w:r w:rsidR="007833A9">
        <w:rPr>
          <w:rFonts w:eastAsiaTheme="minorHAnsi"/>
          <w:lang w:eastAsia="en-US"/>
        </w:rPr>
        <w:t>Tony and Kelly Zinn</w:t>
      </w:r>
      <w:r w:rsidR="00B677CC">
        <w:rPr>
          <w:rFonts w:eastAsiaTheme="minorHAnsi"/>
          <w:lang w:eastAsia="en-US"/>
        </w:rPr>
        <w:t xml:space="preserve">..  The first is to </w:t>
      </w:r>
      <w:r w:rsidR="007833A9">
        <w:rPr>
          <w:rFonts w:eastAsiaTheme="minorHAnsi"/>
          <w:lang w:eastAsia="en-US"/>
        </w:rPr>
        <w:t xml:space="preserve">allow the location of a </w:t>
      </w:r>
      <w:r w:rsidR="00B677CC">
        <w:rPr>
          <w:rFonts w:eastAsiaTheme="minorHAnsi"/>
          <w:lang w:eastAsia="en-US"/>
        </w:rPr>
        <w:t xml:space="preserve">temporary </w:t>
      </w:r>
      <w:r w:rsidR="007833A9">
        <w:rPr>
          <w:rFonts w:eastAsiaTheme="minorHAnsi"/>
          <w:lang w:eastAsia="en-US"/>
        </w:rPr>
        <w:t>shed within the 15 foot side setback as shown in the “Table 3 Setback Coverage and Building Height Requirements” in the Emerald Lake Village Residential Zone</w:t>
      </w:r>
      <w:r w:rsidR="00B677CC">
        <w:rPr>
          <w:rFonts w:eastAsiaTheme="minorHAnsi"/>
          <w:lang w:eastAsia="en-US"/>
        </w:rPr>
        <w:t xml:space="preserve">  The second variance is to locate the temporary shed within </w:t>
      </w:r>
      <w:r w:rsidR="007833A9">
        <w:rPr>
          <w:rFonts w:eastAsiaTheme="minorHAnsi"/>
          <w:lang w:eastAsia="en-US"/>
        </w:rPr>
        <w:t xml:space="preserve">the 75’ </w:t>
      </w:r>
      <w:r w:rsidR="00B677CC">
        <w:rPr>
          <w:rFonts w:eastAsiaTheme="minorHAnsi"/>
          <w:lang w:eastAsia="en-US"/>
        </w:rPr>
        <w:t xml:space="preserve">shoreline </w:t>
      </w:r>
      <w:r w:rsidR="007833A9">
        <w:rPr>
          <w:rFonts w:eastAsiaTheme="minorHAnsi"/>
          <w:lang w:eastAsia="en-US"/>
        </w:rPr>
        <w:t>setback as shown in section “229-10 Stream and Shoreland Protection”</w:t>
      </w:r>
    </w:p>
    <w:p w14:paraId="5B7F7D19" w14:textId="77777777" w:rsidR="00631E09" w:rsidRDefault="00631E09" w:rsidP="007E5D75">
      <w:pPr>
        <w:widowControl/>
        <w:suppressAutoHyphens w:val="0"/>
        <w:autoSpaceDE/>
        <w:spacing w:after="160" w:line="259" w:lineRule="auto"/>
        <w:rPr>
          <w:rFonts w:eastAsiaTheme="minorHAnsi"/>
          <w:b/>
          <w:bCs/>
          <w:lang w:eastAsia="en-US"/>
        </w:rPr>
      </w:pPr>
    </w:p>
    <w:p w14:paraId="2074490C" w14:textId="02E8309E" w:rsidR="00631E09" w:rsidRDefault="00631E09" w:rsidP="007E5D75">
      <w:pPr>
        <w:widowControl/>
        <w:suppressAutoHyphens w:val="0"/>
        <w:autoSpaceDE/>
        <w:spacing w:after="160" w:line="259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Variance 1</w:t>
      </w:r>
    </w:p>
    <w:p w14:paraId="37BF4E9B" w14:textId="706CB7A0" w:rsidR="00631E09" w:rsidRDefault="00631E09" w:rsidP="00631E09">
      <w:pPr>
        <w:rPr>
          <w:bCs/>
        </w:rPr>
      </w:pPr>
      <w:r>
        <w:rPr>
          <w:bCs/>
        </w:rPr>
        <w:t>The applicant applied</w:t>
      </w:r>
      <w:r>
        <w:rPr>
          <w:bCs/>
        </w:rPr>
        <w:t xml:space="preserve"> to locate a portable shed within the 15-foot side setback.</w:t>
      </w:r>
      <w:r>
        <w:rPr>
          <w:bCs/>
        </w:rPr>
        <w:t xml:space="preserve">  The variance was approved in accordance with the following Findings of Fact:</w:t>
      </w:r>
    </w:p>
    <w:p w14:paraId="7C48C56A" w14:textId="77777777" w:rsidR="00631E09" w:rsidRDefault="00631E09" w:rsidP="00631E09">
      <w:pPr>
        <w:rPr>
          <w:bCs/>
        </w:rPr>
      </w:pPr>
    </w:p>
    <w:p w14:paraId="45E2D70F" w14:textId="77777777" w:rsidR="007256C5" w:rsidRPr="007256C5" w:rsidRDefault="007256C5" w:rsidP="007256C5">
      <w:pPr>
        <w:spacing w:before="120" w:after="120" w:line="100" w:lineRule="atLeast"/>
        <w:ind w:left="360"/>
        <w:rPr>
          <w:kern w:val="1"/>
        </w:rPr>
      </w:pPr>
    </w:p>
    <w:p w14:paraId="5FFD8192" w14:textId="188AB3B4" w:rsidR="00F22F62" w:rsidRDefault="00F22F62">
      <w:pPr>
        <w:sectPr w:rsidR="00F22F62" w:rsidSect="007E649B">
          <w:footerReference w:type="default" r:id="rId8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14:paraId="69339B30" w14:textId="0722F057" w:rsidR="00631E09" w:rsidRPr="00944EE1" w:rsidRDefault="00631E09" w:rsidP="00631E09">
      <w:pPr>
        <w:widowControl/>
        <w:suppressAutoHyphens w:val="0"/>
        <w:autoSpaceDE/>
        <w:spacing w:after="160" w:line="259" w:lineRule="auto"/>
        <w:rPr>
          <w:rFonts w:eastAsiaTheme="minorHAnsi"/>
          <w:b/>
          <w:bCs/>
          <w:lang w:eastAsia="en-US"/>
        </w:rPr>
      </w:pPr>
      <w:bookmarkStart w:id="0" w:name="_Hlk114219351"/>
      <w:r>
        <w:rPr>
          <w:rFonts w:eastAsiaTheme="minorHAnsi"/>
          <w:b/>
          <w:bCs/>
          <w:lang w:eastAsia="en-US"/>
        </w:rPr>
        <w:lastRenderedPageBreak/>
        <w:t>General Findings of Fact</w:t>
      </w:r>
    </w:p>
    <w:p w14:paraId="7BD581C3" w14:textId="33DF05C5" w:rsidR="00631E09" w:rsidRPr="004A4EE8" w:rsidRDefault="00631E09" w:rsidP="00631E09">
      <w:pPr>
        <w:pStyle w:val="ListParagraph"/>
        <w:numPr>
          <w:ilvl w:val="0"/>
          <w:numId w:val="17"/>
        </w:numPr>
        <w:spacing w:before="120" w:after="120"/>
        <w:rPr>
          <w:rFonts w:ascii="Times New Roman" w:hAnsi="Times New Roman"/>
          <w:sz w:val="24"/>
          <w:szCs w:val="24"/>
        </w:rPr>
      </w:pPr>
      <w:r w:rsidRPr="004A4EE8">
        <w:rPr>
          <w:rFonts w:ascii="Times New Roman" w:hAnsi="Times New Roman"/>
          <w:sz w:val="24"/>
          <w:szCs w:val="24"/>
        </w:rPr>
        <w:t xml:space="preserve">The property is located at </w:t>
      </w:r>
      <w:r>
        <w:rPr>
          <w:rFonts w:ascii="Times New Roman" w:hAnsi="Times New Roman"/>
          <w:sz w:val="24"/>
          <w:szCs w:val="24"/>
        </w:rPr>
        <w:t>116 Emerald Drive (Map 17 Lot 206).</w:t>
      </w:r>
    </w:p>
    <w:p w14:paraId="48E0034F" w14:textId="2C938EEE" w:rsidR="00631E09" w:rsidRPr="004A4EE8" w:rsidRDefault="00631E09" w:rsidP="00631E09">
      <w:pPr>
        <w:pStyle w:val="ListParagraph"/>
        <w:numPr>
          <w:ilvl w:val="0"/>
          <w:numId w:val="17"/>
        </w:numPr>
        <w:spacing w:before="120" w:after="120"/>
        <w:rPr>
          <w:rFonts w:ascii="Times New Roman" w:hAnsi="Times New Roman"/>
          <w:sz w:val="24"/>
          <w:szCs w:val="24"/>
        </w:rPr>
      </w:pPr>
      <w:r w:rsidRPr="004A4EE8">
        <w:rPr>
          <w:rFonts w:ascii="Times New Roman" w:hAnsi="Times New Roman"/>
          <w:sz w:val="24"/>
          <w:szCs w:val="24"/>
        </w:rPr>
        <w:t xml:space="preserve">The owners of the property are </w:t>
      </w:r>
      <w:r>
        <w:rPr>
          <w:rFonts w:ascii="Times New Roman" w:hAnsi="Times New Roman"/>
          <w:sz w:val="24"/>
          <w:szCs w:val="24"/>
        </w:rPr>
        <w:t>Tony and Kelly Zinn.</w:t>
      </w:r>
    </w:p>
    <w:p w14:paraId="54EBD613" w14:textId="0DED3115" w:rsidR="00631E09" w:rsidRPr="004A4EE8" w:rsidRDefault="00631E09" w:rsidP="00631E09">
      <w:pPr>
        <w:pStyle w:val="ListParagraph"/>
        <w:numPr>
          <w:ilvl w:val="0"/>
          <w:numId w:val="17"/>
        </w:numPr>
        <w:spacing w:before="120" w:after="120"/>
        <w:rPr>
          <w:rFonts w:ascii="Times New Roman" w:hAnsi="Times New Roman"/>
          <w:sz w:val="24"/>
          <w:szCs w:val="24"/>
        </w:rPr>
      </w:pPr>
      <w:r w:rsidRPr="004A4EE8">
        <w:rPr>
          <w:rFonts w:ascii="Times New Roman" w:hAnsi="Times New Roman"/>
          <w:sz w:val="24"/>
          <w:szCs w:val="24"/>
        </w:rPr>
        <w:t xml:space="preserve">The property is located in the in the </w:t>
      </w:r>
      <w:r>
        <w:rPr>
          <w:rFonts w:ascii="Times New Roman" w:hAnsi="Times New Roman"/>
          <w:sz w:val="24"/>
          <w:szCs w:val="24"/>
        </w:rPr>
        <w:t>Emerald Lake Village Residential Zone.</w:t>
      </w:r>
    </w:p>
    <w:p w14:paraId="768071B6" w14:textId="046EDFFD" w:rsidR="00631E09" w:rsidRDefault="00631E09" w:rsidP="00631E09">
      <w:pPr>
        <w:pStyle w:val="ListParagraph"/>
        <w:numPr>
          <w:ilvl w:val="0"/>
          <w:numId w:val="17"/>
        </w:numPr>
        <w:spacing w:before="120" w:after="120" w:line="100" w:lineRule="atLeast"/>
        <w:rPr>
          <w:rFonts w:ascii="Times New Roman" w:hAnsi="Times New Roman"/>
          <w:kern w:val="1"/>
          <w:sz w:val="24"/>
          <w:szCs w:val="24"/>
        </w:rPr>
      </w:pPr>
      <w:r w:rsidRPr="004A4EE8">
        <w:rPr>
          <w:rFonts w:ascii="Times New Roman" w:hAnsi="Times New Roman"/>
          <w:sz w:val="24"/>
          <w:szCs w:val="24"/>
        </w:rPr>
        <w:t xml:space="preserve">The application was presented by </w:t>
      </w:r>
      <w:r>
        <w:rPr>
          <w:rFonts w:ascii="Times New Roman" w:hAnsi="Times New Roman"/>
          <w:sz w:val="24"/>
          <w:szCs w:val="24"/>
        </w:rPr>
        <w:t>Kelly Zinn.</w:t>
      </w:r>
      <w:r w:rsidRPr="004A4EE8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7706157E" w14:textId="201A8AC8" w:rsidR="00631E09" w:rsidRDefault="00631E09" w:rsidP="004F0A9A">
      <w:pPr>
        <w:rPr>
          <w:rFonts w:eastAsiaTheme="minorHAnsi"/>
          <w:b/>
        </w:rPr>
      </w:pPr>
      <w:r>
        <w:rPr>
          <w:rFonts w:eastAsiaTheme="minorHAnsi"/>
          <w:b/>
        </w:rPr>
        <w:t>Findings of Fact -Variance 1</w:t>
      </w:r>
    </w:p>
    <w:p w14:paraId="5BFCC876" w14:textId="77777777" w:rsidR="00631E09" w:rsidRPr="00631E09" w:rsidRDefault="00631E09" w:rsidP="00631E09">
      <w:pPr>
        <w:pStyle w:val="ListParagraph"/>
        <w:numPr>
          <w:ilvl w:val="0"/>
          <w:numId w:val="31"/>
        </w:numPr>
        <w:spacing w:before="120" w:after="120" w:line="100" w:lineRule="atLeast"/>
        <w:rPr>
          <w:rFonts w:ascii="Times New Roman" w:hAnsi="Times New Roman"/>
          <w:kern w:val="1"/>
          <w:sz w:val="24"/>
          <w:szCs w:val="24"/>
        </w:rPr>
      </w:pPr>
      <w:r w:rsidRPr="00631E09">
        <w:rPr>
          <w:rFonts w:ascii="Times New Roman" w:hAnsi="Times New Roman"/>
          <w:kern w:val="1"/>
          <w:sz w:val="24"/>
          <w:szCs w:val="24"/>
        </w:rPr>
        <w:t>The benefit to the applicant is not outweighed by a loss to the public.</w:t>
      </w:r>
    </w:p>
    <w:p w14:paraId="13532A98" w14:textId="77777777" w:rsidR="00631E09" w:rsidRPr="00631E09" w:rsidRDefault="00631E09" w:rsidP="00631E09">
      <w:pPr>
        <w:pStyle w:val="ListParagraph"/>
        <w:numPr>
          <w:ilvl w:val="0"/>
          <w:numId w:val="31"/>
        </w:numPr>
        <w:spacing w:before="120" w:after="120" w:line="100" w:lineRule="atLeast"/>
        <w:rPr>
          <w:rFonts w:ascii="Times New Roman" w:hAnsi="Times New Roman"/>
          <w:kern w:val="1"/>
          <w:sz w:val="24"/>
          <w:szCs w:val="24"/>
        </w:rPr>
      </w:pPr>
      <w:r w:rsidRPr="00631E09">
        <w:rPr>
          <w:rFonts w:ascii="Times New Roman" w:hAnsi="Times New Roman"/>
          <w:kern w:val="1"/>
          <w:sz w:val="24"/>
          <w:szCs w:val="24"/>
        </w:rPr>
        <w:t>The applicant has nowhere on the property that would not be in the setback.</w:t>
      </w:r>
    </w:p>
    <w:p w14:paraId="25FE6D1C" w14:textId="77777777" w:rsidR="00631E09" w:rsidRPr="00631E09" w:rsidRDefault="00631E09" w:rsidP="00631E09">
      <w:pPr>
        <w:pStyle w:val="ListParagraph"/>
        <w:numPr>
          <w:ilvl w:val="0"/>
          <w:numId w:val="31"/>
        </w:numPr>
        <w:spacing w:before="120" w:after="120" w:line="100" w:lineRule="atLeast"/>
        <w:rPr>
          <w:rFonts w:ascii="Times New Roman" w:hAnsi="Times New Roman"/>
          <w:kern w:val="1"/>
          <w:sz w:val="24"/>
          <w:szCs w:val="24"/>
        </w:rPr>
      </w:pPr>
      <w:r w:rsidRPr="00631E09">
        <w:rPr>
          <w:rFonts w:ascii="Times New Roman" w:hAnsi="Times New Roman"/>
          <w:kern w:val="1"/>
          <w:sz w:val="24"/>
          <w:szCs w:val="24"/>
        </w:rPr>
        <w:t>The abutter to the property line has expressed no objection to the variance.</w:t>
      </w:r>
    </w:p>
    <w:p w14:paraId="7499C8E6" w14:textId="77777777" w:rsidR="00631E09" w:rsidRPr="00631E09" w:rsidRDefault="00631E09" w:rsidP="00631E09">
      <w:pPr>
        <w:pStyle w:val="ListParagraph"/>
        <w:numPr>
          <w:ilvl w:val="0"/>
          <w:numId w:val="31"/>
        </w:numPr>
        <w:spacing w:before="120" w:after="120" w:line="100" w:lineRule="atLeast"/>
        <w:rPr>
          <w:rFonts w:ascii="Times New Roman" w:hAnsi="Times New Roman"/>
          <w:kern w:val="1"/>
          <w:sz w:val="24"/>
          <w:szCs w:val="24"/>
        </w:rPr>
      </w:pPr>
      <w:r w:rsidRPr="00631E09">
        <w:rPr>
          <w:rFonts w:ascii="Times New Roman" w:hAnsi="Times New Roman"/>
          <w:kern w:val="1"/>
          <w:sz w:val="24"/>
          <w:szCs w:val="24"/>
        </w:rPr>
        <w:t>The shed will be constructed on blocks so it could be moved if necessary.</w:t>
      </w:r>
    </w:p>
    <w:p w14:paraId="46959258" w14:textId="77777777" w:rsidR="00631E09" w:rsidRPr="00803E7F" w:rsidRDefault="00631E09" w:rsidP="00631E09">
      <w:pPr>
        <w:rPr>
          <w:rFonts w:eastAsiaTheme="minorHAnsi"/>
          <w:b/>
        </w:rPr>
      </w:pPr>
      <w:r w:rsidRPr="00803E7F">
        <w:rPr>
          <w:rFonts w:eastAsiaTheme="minorHAnsi"/>
          <w:b/>
        </w:rPr>
        <w:t>Approval:</w:t>
      </w:r>
    </w:p>
    <w:p w14:paraId="731C1288" w14:textId="77777777" w:rsidR="00631E09" w:rsidRDefault="00631E09" w:rsidP="00631E09">
      <w:pPr>
        <w:rPr>
          <w:rFonts w:eastAsiaTheme="minorHAnsi"/>
          <w:bCs/>
        </w:rPr>
      </w:pPr>
    </w:p>
    <w:p w14:paraId="16FFE013" w14:textId="7850CDD3" w:rsidR="00631E09" w:rsidRDefault="00631E09" w:rsidP="00631E09">
      <w:pPr>
        <w:rPr>
          <w:rFonts w:eastAsiaTheme="minorHAnsi"/>
          <w:bCs/>
        </w:rPr>
      </w:pPr>
      <w:r w:rsidRPr="004F0A9A">
        <w:rPr>
          <w:rFonts w:eastAsiaTheme="minorHAnsi"/>
          <w:bCs/>
        </w:rPr>
        <w:t xml:space="preserve">On </w:t>
      </w:r>
      <w:r>
        <w:rPr>
          <w:rFonts w:eastAsiaTheme="minorHAnsi"/>
          <w:bCs/>
        </w:rPr>
        <w:t>October 21</w:t>
      </w:r>
      <w:r w:rsidRPr="004F0A9A">
        <w:rPr>
          <w:rFonts w:eastAsiaTheme="minorHAnsi"/>
          <w:bCs/>
        </w:rPr>
        <w:t>, 202</w:t>
      </w:r>
      <w:r>
        <w:rPr>
          <w:rFonts w:eastAsiaTheme="minorHAnsi"/>
          <w:bCs/>
        </w:rPr>
        <w:t>4</w:t>
      </w:r>
      <w:r w:rsidRPr="004F0A9A">
        <w:rPr>
          <w:rFonts w:eastAsiaTheme="minorHAnsi"/>
          <w:bCs/>
        </w:rPr>
        <w:t xml:space="preserve">, the Zoning Board of Adjustment voted to approve </w:t>
      </w:r>
      <w:r>
        <w:rPr>
          <w:rFonts w:eastAsiaTheme="minorHAnsi"/>
          <w:bCs/>
        </w:rPr>
        <w:t xml:space="preserve">Variance </w:t>
      </w:r>
      <w:r>
        <w:rPr>
          <w:rFonts w:eastAsiaTheme="minorHAnsi"/>
          <w:bCs/>
        </w:rPr>
        <w:t xml:space="preserve">1 </w:t>
      </w:r>
      <w:r>
        <w:rPr>
          <w:rFonts w:eastAsiaTheme="minorHAnsi"/>
          <w:bCs/>
        </w:rPr>
        <w:t xml:space="preserve">submitted by </w:t>
      </w:r>
      <w:r w:rsidR="00B677CC">
        <w:rPr>
          <w:rFonts w:eastAsiaTheme="minorHAnsi"/>
          <w:bCs/>
        </w:rPr>
        <w:t>Tony and Kelly Zinn</w:t>
      </w:r>
      <w:r>
        <w:rPr>
          <w:rFonts w:eastAsiaTheme="minorHAnsi"/>
          <w:bCs/>
        </w:rPr>
        <w:t xml:space="preserve"> by </w:t>
      </w:r>
      <w:r w:rsidRPr="004F0A9A">
        <w:rPr>
          <w:rFonts w:eastAsiaTheme="minorHAnsi"/>
          <w:bCs/>
        </w:rPr>
        <w:t xml:space="preserve">a vote of </w:t>
      </w:r>
      <w:r>
        <w:rPr>
          <w:rFonts w:eastAsiaTheme="minorHAnsi"/>
          <w:bCs/>
        </w:rPr>
        <w:t>4 in favor and 0 opposed</w:t>
      </w:r>
      <w:r w:rsidRPr="004F0A9A">
        <w:rPr>
          <w:rFonts w:eastAsiaTheme="minorHAnsi"/>
          <w:bCs/>
        </w:rPr>
        <w:t>.</w:t>
      </w:r>
    </w:p>
    <w:p w14:paraId="769BACE3" w14:textId="77777777" w:rsidR="00631E09" w:rsidRPr="00631E09" w:rsidRDefault="00631E09" w:rsidP="00631E09">
      <w:pPr>
        <w:spacing w:before="120" w:after="120"/>
        <w:rPr>
          <w:rFonts w:eastAsiaTheme="minorHAnsi"/>
          <w:b/>
        </w:rPr>
      </w:pPr>
    </w:p>
    <w:p w14:paraId="56CFA00A" w14:textId="1BAD9559" w:rsidR="00631E09" w:rsidRDefault="00B677CC" w:rsidP="004F0A9A">
      <w:pPr>
        <w:rPr>
          <w:rFonts w:eastAsiaTheme="minorHAnsi"/>
          <w:b/>
        </w:rPr>
      </w:pPr>
      <w:r>
        <w:rPr>
          <w:rFonts w:eastAsiaTheme="minorHAnsi"/>
          <w:b/>
        </w:rPr>
        <w:t>Variance 2</w:t>
      </w:r>
    </w:p>
    <w:p w14:paraId="602AC2E2" w14:textId="77777777" w:rsidR="00B677CC" w:rsidRPr="00B677CC" w:rsidRDefault="00B677CC" w:rsidP="004F0A9A">
      <w:pPr>
        <w:rPr>
          <w:rFonts w:eastAsiaTheme="minorHAnsi"/>
          <w:bCs/>
        </w:rPr>
      </w:pPr>
    </w:p>
    <w:p w14:paraId="3F4D0C1D" w14:textId="1CF8E0DD" w:rsidR="00B677CC" w:rsidRPr="00B677CC" w:rsidRDefault="004D7F18" w:rsidP="004F0A9A">
      <w:pPr>
        <w:rPr>
          <w:rFonts w:eastAsiaTheme="minorHAnsi"/>
          <w:bCs/>
        </w:rPr>
      </w:pPr>
      <w:r>
        <w:rPr>
          <w:rFonts w:eastAsiaTheme="minorHAnsi"/>
          <w:bCs/>
        </w:rPr>
        <w:t>The applicant applied</w:t>
      </w:r>
      <w:r w:rsidR="00B677CC">
        <w:rPr>
          <w:rFonts w:eastAsiaTheme="minorHAnsi"/>
          <w:bCs/>
        </w:rPr>
        <w:t xml:space="preserve"> for a variance to locate his shed within the 75’ Shoreland Protection setback</w:t>
      </w:r>
      <w:r>
        <w:rPr>
          <w:rFonts w:eastAsiaTheme="minorHAnsi"/>
          <w:bCs/>
        </w:rPr>
        <w:t>.  The variance was granted in accordance with the following Findings of Fact:</w:t>
      </w:r>
    </w:p>
    <w:p w14:paraId="6309049E" w14:textId="77777777" w:rsidR="00631E09" w:rsidRPr="00B677CC" w:rsidRDefault="00631E09" w:rsidP="004F0A9A">
      <w:pPr>
        <w:rPr>
          <w:rFonts w:eastAsiaTheme="minorHAnsi"/>
          <w:bCs/>
        </w:rPr>
      </w:pPr>
    </w:p>
    <w:p w14:paraId="4D38B91F" w14:textId="5CC5A490" w:rsidR="00631E09" w:rsidRPr="00B677CC" w:rsidRDefault="00B677CC" w:rsidP="004F0A9A">
      <w:pPr>
        <w:rPr>
          <w:rFonts w:eastAsiaTheme="minorHAnsi"/>
          <w:b/>
        </w:rPr>
      </w:pPr>
      <w:r w:rsidRPr="00B677CC">
        <w:rPr>
          <w:rFonts w:eastAsiaTheme="minorHAnsi"/>
          <w:b/>
        </w:rPr>
        <w:t>Findings of Fact Variance 2</w:t>
      </w:r>
    </w:p>
    <w:p w14:paraId="2F6F8C3F" w14:textId="77777777" w:rsidR="00B677CC" w:rsidRDefault="00B677CC" w:rsidP="004F0A9A">
      <w:pPr>
        <w:rPr>
          <w:rFonts w:eastAsiaTheme="minorHAnsi"/>
          <w:bCs/>
        </w:rPr>
      </w:pPr>
    </w:p>
    <w:p w14:paraId="59369B1A" w14:textId="77777777" w:rsidR="00B677CC" w:rsidRPr="00B677CC" w:rsidRDefault="00B677CC" w:rsidP="00B677CC">
      <w:pPr>
        <w:pStyle w:val="ListParagraph"/>
        <w:numPr>
          <w:ilvl w:val="0"/>
          <w:numId w:val="32"/>
        </w:numPr>
        <w:spacing w:before="120" w:after="120" w:line="100" w:lineRule="atLeast"/>
        <w:rPr>
          <w:rFonts w:ascii="Times New Roman" w:hAnsi="Times New Roman"/>
          <w:kern w:val="1"/>
          <w:sz w:val="24"/>
          <w:szCs w:val="24"/>
        </w:rPr>
      </w:pPr>
      <w:r w:rsidRPr="00B677CC">
        <w:rPr>
          <w:rFonts w:ascii="Times New Roman" w:hAnsi="Times New Roman"/>
          <w:kern w:val="1"/>
          <w:sz w:val="24"/>
          <w:szCs w:val="24"/>
        </w:rPr>
        <w:t>The benefit to the applicant is not outweighed by a loss to the public.</w:t>
      </w:r>
    </w:p>
    <w:p w14:paraId="70EF3FF5" w14:textId="77777777" w:rsidR="00B677CC" w:rsidRPr="00B677CC" w:rsidRDefault="00B677CC" w:rsidP="00B677CC">
      <w:pPr>
        <w:pStyle w:val="ListParagraph"/>
        <w:numPr>
          <w:ilvl w:val="0"/>
          <w:numId w:val="32"/>
        </w:numPr>
        <w:spacing w:before="120" w:after="120" w:line="100" w:lineRule="atLeast"/>
        <w:rPr>
          <w:rFonts w:ascii="Times New Roman" w:hAnsi="Times New Roman"/>
          <w:kern w:val="1"/>
          <w:sz w:val="24"/>
          <w:szCs w:val="24"/>
        </w:rPr>
      </w:pPr>
      <w:r w:rsidRPr="00B677CC">
        <w:rPr>
          <w:rFonts w:ascii="Times New Roman" w:hAnsi="Times New Roman"/>
          <w:kern w:val="1"/>
          <w:sz w:val="24"/>
          <w:szCs w:val="24"/>
        </w:rPr>
        <w:t>The abutter to the property line has expressed no objection to the variance.</w:t>
      </w:r>
    </w:p>
    <w:p w14:paraId="2C6A4C6A" w14:textId="77777777" w:rsidR="00B677CC" w:rsidRPr="00B677CC" w:rsidRDefault="00B677CC" w:rsidP="00B677CC">
      <w:pPr>
        <w:pStyle w:val="ListParagraph"/>
        <w:numPr>
          <w:ilvl w:val="0"/>
          <w:numId w:val="32"/>
        </w:numPr>
        <w:spacing w:before="120" w:after="120" w:line="100" w:lineRule="atLeast"/>
        <w:rPr>
          <w:rFonts w:ascii="Times New Roman" w:hAnsi="Times New Roman"/>
          <w:kern w:val="1"/>
          <w:sz w:val="24"/>
          <w:szCs w:val="24"/>
        </w:rPr>
      </w:pPr>
      <w:r w:rsidRPr="00B677CC">
        <w:rPr>
          <w:rFonts w:ascii="Times New Roman" w:hAnsi="Times New Roman"/>
          <w:kern w:val="1"/>
          <w:sz w:val="24"/>
          <w:szCs w:val="24"/>
        </w:rPr>
        <w:t>The shed will be constructed on blocks so it could be moved if necessary.</w:t>
      </w:r>
    </w:p>
    <w:p w14:paraId="38703E40" w14:textId="77777777" w:rsidR="00631E09" w:rsidRPr="00B677CC" w:rsidRDefault="00631E09" w:rsidP="004F0A9A">
      <w:pPr>
        <w:rPr>
          <w:rFonts w:eastAsiaTheme="minorHAnsi"/>
          <w:bCs/>
        </w:rPr>
      </w:pPr>
    </w:p>
    <w:p w14:paraId="70C14D49" w14:textId="0096E8DE" w:rsidR="004F0A9A" w:rsidRPr="00803E7F" w:rsidRDefault="004F0A9A" w:rsidP="004F0A9A">
      <w:pPr>
        <w:rPr>
          <w:rFonts w:eastAsiaTheme="minorHAnsi"/>
          <w:b/>
        </w:rPr>
      </w:pPr>
      <w:r w:rsidRPr="00803E7F">
        <w:rPr>
          <w:rFonts w:eastAsiaTheme="minorHAnsi"/>
          <w:b/>
        </w:rPr>
        <w:t>Approv</w:t>
      </w:r>
      <w:r w:rsidR="00803E7F" w:rsidRPr="00803E7F">
        <w:rPr>
          <w:rFonts w:eastAsiaTheme="minorHAnsi"/>
          <w:b/>
        </w:rPr>
        <w:t>al</w:t>
      </w:r>
      <w:r w:rsidRPr="00803E7F">
        <w:rPr>
          <w:rFonts w:eastAsiaTheme="minorHAnsi"/>
          <w:b/>
        </w:rPr>
        <w:t>:</w:t>
      </w:r>
    </w:p>
    <w:p w14:paraId="069FE0E9" w14:textId="77777777" w:rsidR="001D56D7" w:rsidRDefault="001D56D7" w:rsidP="004F0A9A">
      <w:pPr>
        <w:rPr>
          <w:rFonts w:eastAsiaTheme="minorHAnsi"/>
          <w:bCs/>
        </w:rPr>
      </w:pPr>
    </w:p>
    <w:p w14:paraId="7E1DBAA5" w14:textId="26644B35" w:rsidR="004F0A9A" w:rsidRDefault="004F0A9A" w:rsidP="004F0A9A">
      <w:pPr>
        <w:rPr>
          <w:rFonts w:eastAsiaTheme="minorHAnsi"/>
          <w:bCs/>
        </w:rPr>
      </w:pPr>
      <w:r w:rsidRPr="004F0A9A">
        <w:rPr>
          <w:rFonts w:eastAsiaTheme="minorHAnsi"/>
          <w:bCs/>
        </w:rPr>
        <w:t xml:space="preserve">On </w:t>
      </w:r>
      <w:r w:rsidR="004A4EE8">
        <w:rPr>
          <w:rFonts w:eastAsiaTheme="minorHAnsi"/>
          <w:bCs/>
        </w:rPr>
        <w:t>October 21</w:t>
      </w:r>
      <w:r w:rsidRPr="004F0A9A">
        <w:rPr>
          <w:rFonts w:eastAsiaTheme="minorHAnsi"/>
          <w:bCs/>
        </w:rPr>
        <w:t xml:space="preserve">, </w:t>
      </w:r>
      <w:r w:rsidR="00A72B5E" w:rsidRPr="004F0A9A">
        <w:rPr>
          <w:rFonts w:eastAsiaTheme="minorHAnsi"/>
          <w:bCs/>
        </w:rPr>
        <w:t>202</w:t>
      </w:r>
      <w:r w:rsidR="00086EAA">
        <w:rPr>
          <w:rFonts w:eastAsiaTheme="minorHAnsi"/>
          <w:bCs/>
        </w:rPr>
        <w:t>4</w:t>
      </w:r>
      <w:r w:rsidR="00A72B5E" w:rsidRPr="004F0A9A">
        <w:rPr>
          <w:rFonts w:eastAsiaTheme="minorHAnsi"/>
          <w:bCs/>
        </w:rPr>
        <w:t>,</w:t>
      </w:r>
      <w:r w:rsidRPr="004F0A9A">
        <w:rPr>
          <w:rFonts w:eastAsiaTheme="minorHAnsi"/>
          <w:bCs/>
        </w:rPr>
        <w:t xml:space="preserve"> the Zoning Board of Adjustment voted to approve </w:t>
      </w:r>
      <w:r w:rsidR="004A4EE8">
        <w:rPr>
          <w:rFonts w:eastAsiaTheme="minorHAnsi"/>
          <w:bCs/>
        </w:rPr>
        <w:t xml:space="preserve">Variance </w:t>
      </w:r>
      <w:r w:rsidR="00B677CC">
        <w:rPr>
          <w:rFonts w:eastAsiaTheme="minorHAnsi"/>
          <w:bCs/>
        </w:rPr>
        <w:t xml:space="preserve">2 </w:t>
      </w:r>
      <w:r w:rsidR="005866A5">
        <w:rPr>
          <w:rFonts w:eastAsiaTheme="minorHAnsi"/>
          <w:bCs/>
        </w:rPr>
        <w:t xml:space="preserve">submitted by </w:t>
      </w:r>
      <w:r w:rsidR="00B677CC">
        <w:rPr>
          <w:rFonts w:eastAsiaTheme="minorHAnsi"/>
          <w:bCs/>
        </w:rPr>
        <w:t>Tony and Kelly Zinn b</w:t>
      </w:r>
      <w:r w:rsidR="007256C5">
        <w:rPr>
          <w:rFonts w:eastAsiaTheme="minorHAnsi"/>
          <w:bCs/>
        </w:rPr>
        <w:t>y</w:t>
      </w:r>
      <w:r>
        <w:rPr>
          <w:rFonts w:eastAsiaTheme="minorHAnsi"/>
          <w:bCs/>
        </w:rPr>
        <w:t xml:space="preserve"> </w:t>
      </w:r>
      <w:r w:rsidRPr="004F0A9A">
        <w:rPr>
          <w:rFonts w:eastAsiaTheme="minorHAnsi"/>
          <w:bCs/>
        </w:rPr>
        <w:t xml:space="preserve">a vote of </w:t>
      </w:r>
      <w:r w:rsidR="00B677CC">
        <w:rPr>
          <w:rFonts w:eastAsiaTheme="minorHAnsi"/>
          <w:bCs/>
        </w:rPr>
        <w:t>3</w:t>
      </w:r>
      <w:r w:rsidR="00554B71">
        <w:rPr>
          <w:rFonts w:eastAsiaTheme="minorHAnsi"/>
          <w:bCs/>
        </w:rPr>
        <w:t xml:space="preserve"> in favor and </w:t>
      </w:r>
      <w:r w:rsidR="00B677CC">
        <w:rPr>
          <w:rFonts w:eastAsiaTheme="minorHAnsi"/>
          <w:bCs/>
        </w:rPr>
        <w:t>1 abstention</w:t>
      </w:r>
      <w:r w:rsidRPr="004F0A9A">
        <w:rPr>
          <w:rFonts w:eastAsiaTheme="minorHAnsi"/>
          <w:bCs/>
        </w:rPr>
        <w:t>.</w:t>
      </w:r>
    </w:p>
    <w:p w14:paraId="458C8260" w14:textId="77777777" w:rsidR="005866A5" w:rsidRDefault="005866A5" w:rsidP="004F0A9A">
      <w:pPr>
        <w:rPr>
          <w:rFonts w:eastAsiaTheme="minorHAnsi"/>
          <w:bCs/>
        </w:rPr>
      </w:pPr>
    </w:p>
    <w:p w14:paraId="6A30B6B4" w14:textId="77777777" w:rsidR="005866A5" w:rsidRDefault="005866A5" w:rsidP="004F0A9A">
      <w:pPr>
        <w:rPr>
          <w:rFonts w:eastAsiaTheme="minorHAnsi"/>
          <w:bCs/>
        </w:rPr>
      </w:pPr>
    </w:p>
    <w:p w14:paraId="67B015F9" w14:textId="77777777" w:rsidR="005866A5" w:rsidRPr="0046259E" w:rsidRDefault="005866A5" w:rsidP="005866A5">
      <w:pPr>
        <w:spacing w:line="518" w:lineRule="atLeast"/>
        <w:rPr>
          <w:rFonts w:eastAsia="Fd1421"/>
          <w:color w:val="000000"/>
        </w:rPr>
      </w:pPr>
      <w:r w:rsidRPr="0046259E">
        <w:rPr>
          <w:rFonts w:eastAsia="Fd1421"/>
          <w:color w:val="000000"/>
        </w:rPr>
        <w:t>_______________________</w:t>
      </w:r>
      <w:r w:rsidRPr="0046259E">
        <w:rPr>
          <w:rFonts w:eastAsia="Fd1421"/>
          <w:color w:val="000000"/>
        </w:rPr>
        <w:tab/>
      </w:r>
      <w:r w:rsidRPr="0046259E">
        <w:rPr>
          <w:rFonts w:eastAsia="Fd1421"/>
          <w:color w:val="000000"/>
        </w:rPr>
        <w:tab/>
      </w:r>
      <w:r w:rsidRPr="0046259E">
        <w:rPr>
          <w:rFonts w:eastAsia="Fd1421"/>
          <w:color w:val="000000"/>
        </w:rPr>
        <w:tab/>
      </w:r>
      <w:r w:rsidRPr="0046259E">
        <w:rPr>
          <w:rFonts w:eastAsia="Fd1421"/>
          <w:color w:val="000000"/>
        </w:rPr>
        <w:tab/>
      </w:r>
      <w:r w:rsidRPr="0046259E">
        <w:rPr>
          <w:rFonts w:eastAsia="Fd1421"/>
          <w:color w:val="000000"/>
        </w:rPr>
        <w:tab/>
        <w:t>Date: _____________________</w:t>
      </w:r>
    </w:p>
    <w:p w14:paraId="6947D99B" w14:textId="17CD946C" w:rsidR="005866A5" w:rsidRPr="0046259E" w:rsidRDefault="005866A5" w:rsidP="005866A5">
      <w:pPr>
        <w:spacing w:line="276" w:lineRule="atLeast"/>
        <w:jc w:val="both"/>
        <w:rPr>
          <w:rFonts w:eastAsia="Fd1421"/>
          <w:color w:val="000000"/>
        </w:rPr>
      </w:pPr>
      <w:r>
        <w:rPr>
          <w:rFonts w:eastAsia="Fd1421"/>
          <w:color w:val="000000"/>
        </w:rPr>
        <w:t xml:space="preserve">Clarence Larry Baker, </w:t>
      </w:r>
      <w:r w:rsidRPr="0046259E">
        <w:rPr>
          <w:rFonts w:eastAsia="Fd1421"/>
          <w:color w:val="000000"/>
        </w:rPr>
        <w:t>Chairperson</w:t>
      </w:r>
    </w:p>
    <w:p w14:paraId="0473FB95" w14:textId="77777777" w:rsidR="005866A5" w:rsidRPr="0046259E" w:rsidRDefault="005866A5" w:rsidP="005866A5">
      <w:pPr>
        <w:spacing w:line="276" w:lineRule="atLeast"/>
        <w:jc w:val="both"/>
        <w:rPr>
          <w:rFonts w:eastAsia="Fd1421"/>
          <w:color w:val="000000"/>
        </w:rPr>
      </w:pPr>
      <w:r w:rsidRPr="0046259E">
        <w:rPr>
          <w:rFonts w:eastAsia="Fd1421"/>
          <w:color w:val="000000"/>
        </w:rPr>
        <w:t>Hillsborough Zoning Board of Adjustment</w:t>
      </w:r>
    </w:p>
    <w:p w14:paraId="5E3EE56C" w14:textId="77777777" w:rsidR="005866A5" w:rsidRDefault="005866A5" w:rsidP="004F0A9A">
      <w:pPr>
        <w:rPr>
          <w:rFonts w:eastAsiaTheme="minorHAnsi"/>
          <w:bCs/>
        </w:rPr>
      </w:pPr>
    </w:p>
    <w:p w14:paraId="13BF4AB6" w14:textId="77777777" w:rsidR="005866A5" w:rsidRPr="004F0A9A" w:rsidRDefault="005866A5" w:rsidP="004F0A9A">
      <w:pPr>
        <w:rPr>
          <w:rFonts w:eastAsiaTheme="minorHAnsi"/>
          <w:bCs/>
        </w:rPr>
      </w:pPr>
    </w:p>
    <w:bookmarkEnd w:id="0"/>
    <w:sectPr w:rsidR="005866A5" w:rsidRPr="004F0A9A" w:rsidSect="007D0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5421C" w14:textId="77777777" w:rsidR="007E649B" w:rsidRDefault="007E649B" w:rsidP="007E649B">
      <w:r>
        <w:separator/>
      </w:r>
    </w:p>
  </w:endnote>
  <w:endnote w:type="continuationSeparator" w:id="0">
    <w:p w14:paraId="168406C5" w14:textId="77777777" w:rsidR="007E649B" w:rsidRDefault="007E649B" w:rsidP="007E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Fd142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09447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3B1158" w14:textId="052ABC93" w:rsidR="00B44A7F" w:rsidRPr="00B44A7F" w:rsidRDefault="00B44A7F" w:rsidP="00B44A7F">
            <w:pPr>
              <w:pStyle w:val="Footer"/>
              <w:jc w:val="center"/>
            </w:pPr>
            <w:r w:rsidRPr="00B44A7F">
              <w:t xml:space="preserve">Page </w:t>
            </w:r>
            <w:r w:rsidRPr="00B44A7F">
              <w:fldChar w:fldCharType="begin"/>
            </w:r>
            <w:r w:rsidRPr="00B44A7F">
              <w:instrText xml:space="preserve"> PAGE </w:instrText>
            </w:r>
            <w:r w:rsidRPr="00B44A7F">
              <w:fldChar w:fldCharType="separate"/>
            </w:r>
            <w:r w:rsidRPr="00B44A7F">
              <w:rPr>
                <w:noProof/>
              </w:rPr>
              <w:t>2</w:t>
            </w:r>
            <w:r w:rsidRPr="00B44A7F">
              <w:fldChar w:fldCharType="end"/>
            </w:r>
            <w:r w:rsidRPr="00B44A7F">
              <w:t xml:space="preserve"> of </w:t>
            </w:r>
            <w:r w:rsidR="00872CFF">
              <w:fldChar w:fldCharType="begin"/>
            </w:r>
            <w:r w:rsidR="00872CFF">
              <w:instrText xml:space="preserve"> NUMPAGES  </w:instrText>
            </w:r>
            <w:r w:rsidR="00872CFF">
              <w:fldChar w:fldCharType="separate"/>
            </w:r>
            <w:r w:rsidRPr="00B44A7F">
              <w:rPr>
                <w:noProof/>
              </w:rPr>
              <w:t>2</w:t>
            </w:r>
            <w:r w:rsidR="00872CFF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44FA" w14:textId="77777777" w:rsidR="00BC1B06" w:rsidRDefault="00BC1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7067"/>
      <w:docPartObj>
        <w:docPartGallery w:val="Page Numbers (Bottom of Page)"/>
        <w:docPartUnique/>
      </w:docPartObj>
    </w:sdtPr>
    <w:sdtEndPr/>
    <w:sdtContent>
      <w:sdt>
        <w:sdtPr>
          <w:id w:val="-393581620"/>
          <w:docPartObj>
            <w:docPartGallery w:val="Page Numbers (Top of Page)"/>
            <w:docPartUnique/>
          </w:docPartObj>
        </w:sdtPr>
        <w:sdtEndPr/>
        <w:sdtContent>
          <w:p w14:paraId="6387B2E7" w14:textId="77F800E6" w:rsidR="004E3B49" w:rsidRPr="004E3B49" w:rsidRDefault="004E3B49" w:rsidP="004E3B49">
            <w:pPr>
              <w:pStyle w:val="Footer"/>
              <w:jc w:val="center"/>
            </w:pPr>
            <w:r w:rsidRPr="004E3B49">
              <w:t xml:space="preserve">Page </w:t>
            </w:r>
            <w:r w:rsidRPr="004E3B49">
              <w:fldChar w:fldCharType="begin"/>
            </w:r>
            <w:r w:rsidRPr="004E3B49">
              <w:instrText xml:space="preserve"> PAGE </w:instrText>
            </w:r>
            <w:r w:rsidRPr="004E3B49">
              <w:fldChar w:fldCharType="separate"/>
            </w:r>
            <w:r w:rsidRPr="004E3B49">
              <w:rPr>
                <w:noProof/>
              </w:rPr>
              <w:t>2</w:t>
            </w:r>
            <w:r w:rsidRPr="004E3B49">
              <w:fldChar w:fldCharType="end"/>
            </w:r>
            <w:r w:rsidRPr="004E3B49">
              <w:t xml:space="preserve"> of </w:t>
            </w:r>
            <w:r w:rsidR="00872CFF">
              <w:fldChar w:fldCharType="begin"/>
            </w:r>
            <w:r w:rsidR="00872CFF">
              <w:instrText xml:space="preserve"> NUMPAGES  </w:instrText>
            </w:r>
            <w:r w:rsidR="00872CFF">
              <w:fldChar w:fldCharType="separate"/>
            </w:r>
            <w:r w:rsidRPr="004E3B49">
              <w:rPr>
                <w:noProof/>
              </w:rPr>
              <w:t>2</w:t>
            </w:r>
            <w:r w:rsidR="00872CFF">
              <w:rPr>
                <w:noProof/>
              </w:rPr>
              <w:fldChar w:fldCharType="end"/>
            </w:r>
          </w:p>
        </w:sdtContent>
      </w:sdt>
    </w:sdtContent>
  </w:sdt>
  <w:p w14:paraId="16AE421B" w14:textId="77777777" w:rsidR="00BC1B06" w:rsidRDefault="00BC1B0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C4E7" w14:textId="77777777" w:rsidR="00BC1B06" w:rsidRDefault="00BC1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0E0C2" w14:textId="77777777" w:rsidR="007E649B" w:rsidRDefault="007E649B" w:rsidP="007E649B">
      <w:r>
        <w:separator/>
      </w:r>
    </w:p>
  </w:footnote>
  <w:footnote w:type="continuationSeparator" w:id="0">
    <w:p w14:paraId="51983274" w14:textId="77777777" w:rsidR="007E649B" w:rsidRDefault="007E649B" w:rsidP="007E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28E52" w14:textId="77777777" w:rsidR="00BC1B06" w:rsidRDefault="00BC1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47C2B" w14:textId="77777777" w:rsidR="00BC1B06" w:rsidRDefault="00BC1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160F3" w14:textId="77777777" w:rsidR="00BC1B06" w:rsidRDefault="00BC1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4ED4"/>
    <w:multiLevelType w:val="hybridMultilevel"/>
    <w:tmpl w:val="77EE44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4F9"/>
    <w:multiLevelType w:val="hybridMultilevel"/>
    <w:tmpl w:val="AF94392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6FC3"/>
    <w:multiLevelType w:val="hybridMultilevel"/>
    <w:tmpl w:val="89BEB1E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43B0"/>
    <w:multiLevelType w:val="hybridMultilevel"/>
    <w:tmpl w:val="EAD23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744"/>
    <w:multiLevelType w:val="hybridMultilevel"/>
    <w:tmpl w:val="B2BA37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45B75"/>
    <w:multiLevelType w:val="hybridMultilevel"/>
    <w:tmpl w:val="315ACB9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B7D03"/>
    <w:multiLevelType w:val="hybridMultilevel"/>
    <w:tmpl w:val="D3EA6C1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C18EB"/>
    <w:multiLevelType w:val="hybridMultilevel"/>
    <w:tmpl w:val="59DEEB6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93F7A"/>
    <w:multiLevelType w:val="hybridMultilevel"/>
    <w:tmpl w:val="77EE44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121"/>
    <w:multiLevelType w:val="hybridMultilevel"/>
    <w:tmpl w:val="1410F7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C58F8"/>
    <w:multiLevelType w:val="hybridMultilevel"/>
    <w:tmpl w:val="751E8A8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467B"/>
    <w:multiLevelType w:val="hybridMultilevel"/>
    <w:tmpl w:val="59DEEB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C36E2"/>
    <w:multiLevelType w:val="hybridMultilevel"/>
    <w:tmpl w:val="825C8B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250"/>
    <w:multiLevelType w:val="hybridMultilevel"/>
    <w:tmpl w:val="BEA4118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0E3"/>
    <w:multiLevelType w:val="hybridMultilevel"/>
    <w:tmpl w:val="E42E684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A7694"/>
    <w:multiLevelType w:val="hybridMultilevel"/>
    <w:tmpl w:val="315ACB9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D3790"/>
    <w:multiLevelType w:val="hybridMultilevel"/>
    <w:tmpl w:val="896695C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F0F99"/>
    <w:multiLevelType w:val="hybridMultilevel"/>
    <w:tmpl w:val="315ACB9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80C46"/>
    <w:multiLevelType w:val="hybridMultilevel"/>
    <w:tmpl w:val="122A59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E1364"/>
    <w:multiLevelType w:val="hybridMultilevel"/>
    <w:tmpl w:val="896695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F08E4"/>
    <w:multiLevelType w:val="hybridMultilevel"/>
    <w:tmpl w:val="C5A49A52"/>
    <w:lvl w:ilvl="0" w:tplc="B290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81EB2"/>
    <w:multiLevelType w:val="hybridMultilevel"/>
    <w:tmpl w:val="0228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17862"/>
    <w:multiLevelType w:val="hybridMultilevel"/>
    <w:tmpl w:val="E42E684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91B3D"/>
    <w:multiLevelType w:val="hybridMultilevel"/>
    <w:tmpl w:val="AB30E156"/>
    <w:lvl w:ilvl="0" w:tplc="53740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4874"/>
    <w:multiLevelType w:val="hybridMultilevel"/>
    <w:tmpl w:val="0F629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41339"/>
    <w:multiLevelType w:val="hybridMultilevel"/>
    <w:tmpl w:val="71B2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C57E6"/>
    <w:multiLevelType w:val="hybridMultilevel"/>
    <w:tmpl w:val="EA488A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C5A3A"/>
    <w:multiLevelType w:val="hybridMultilevel"/>
    <w:tmpl w:val="BEA4118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26822"/>
    <w:multiLevelType w:val="hybridMultilevel"/>
    <w:tmpl w:val="81AAD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81607"/>
    <w:multiLevelType w:val="hybridMultilevel"/>
    <w:tmpl w:val="71C4C6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61951"/>
    <w:multiLevelType w:val="hybridMultilevel"/>
    <w:tmpl w:val="315ACB9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F4AEC"/>
    <w:multiLevelType w:val="hybridMultilevel"/>
    <w:tmpl w:val="751E8A8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79966">
    <w:abstractNumId w:val="20"/>
  </w:num>
  <w:num w:numId="2" w16cid:durableId="267352168">
    <w:abstractNumId w:val="9"/>
  </w:num>
  <w:num w:numId="3" w16cid:durableId="1174493255">
    <w:abstractNumId w:val="23"/>
  </w:num>
  <w:num w:numId="4" w16cid:durableId="487790802">
    <w:abstractNumId w:val="29"/>
  </w:num>
  <w:num w:numId="5" w16cid:durableId="1708023238">
    <w:abstractNumId w:val="21"/>
  </w:num>
  <w:num w:numId="6" w16cid:durableId="1987516174">
    <w:abstractNumId w:val="4"/>
  </w:num>
  <w:num w:numId="7" w16cid:durableId="595136400">
    <w:abstractNumId w:val="11"/>
  </w:num>
  <w:num w:numId="8" w16cid:durableId="627861832">
    <w:abstractNumId w:val="19"/>
  </w:num>
  <w:num w:numId="9" w16cid:durableId="723136239">
    <w:abstractNumId w:val="22"/>
  </w:num>
  <w:num w:numId="10" w16cid:durableId="1439444197">
    <w:abstractNumId w:val="5"/>
  </w:num>
  <w:num w:numId="11" w16cid:durableId="600185551">
    <w:abstractNumId w:val="17"/>
  </w:num>
  <w:num w:numId="12" w16cid:durableId="585580974">
    <w:abstractNumId w:val="7"/>
  </w:num>
  <w:num w:numId="13" w16cid:durableId="1531802085">
    <w:abstractNumId w:val="16"/>
  </w:num>
  <w:num w:numId="14" w16cid:durableId="1303118285">
    <w:abstractNumId w:val="14"/>
  </w:num>
  <w:num w:numId="15" w16cid:durableId="1732266704">
    <w:abstractNumId w:val="30"/>
  </w:num>
  <w:num w:numId="16" w16cid:durableId="1497958875">
    <w:abstractNumId w:val="15"/>
  </w:num>
  <w:num w:numId="17" w16cid:durableId="1090272862">
    <w:abstractNumId w:val="24"/>
  </w:num>
  <w:num w:numId="18" w16cid:durableId="1867481074">
    <w:abstractNumId w:val="18"/>
  </w:num>
  <w:num w:numId="19" w16cid:durableId="1607342799">
    <w:abstractNumId w:val="12"/>
  </w:num>
  <w:num w:numId="20" w16cid:durableId="1793090883">
    <w:abstractNumId w:val="0"/>
  </w:num>
  <w:num w:numId="21" w16cid:durableId="1207179122">
    <w:abstractNumId w:val="26"/>
  </w:num>
  <w:num w:numId="22" w16cid:durableId="1031802865">
    <w:abstractNumId w:val="13"/>
  </w:num>
  <w:num w:numId="23" w16cid:durableId="973288532">
    <w:abstractNumId w:val="27"/>
  </w:num>
  <w:num w:numId="24" w16cid:durableId="1201750041">
    <w:abstractNumId w:val="1"/>
  </w:num>
  <w:num w:numId="25" w16cid:durableId="1321041399">
    <w:abstractNumId w:val="2"/>
  </w:num>
  <w:num w:numId="26" w16cid:durableId="903375705">
    <w:abstractNumId w:val="6"/>
  </w:num>
  <w:num w:numId="27" w16cid:durableId="1518233596">
    <w:abstractNumId w:val="10"/>
  </w:num>
  <w:num w:numId="28" w16cid:durableId="340477354">
    <w:abstractNumId w:val="31"/>
  </w:num>
  <w:num w:numId="29" w16cid:durableId="1789664580">
    <w:abstractNumId w:val="8"/>
  </w:num>
  <w:num w:numId="30" w16cid:durableId="1566800374">
    <w:abstractNumId w:val="3"/>
  </w:num>
  <w:num w:numId="31" w16cid:durableId="1225917465">
    <w:abstractNumId w:val="28"/>
  </w:num>
  <w:num w:numId="32" w16cid:durableId="13710349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9B"/>
    <w:rsid w:val="00046885"/>
    <w:rsid w:val="00064B5A"/>
    <w:rsid w:val="00086EAA"/>
    <w:rsid w:val="000F4D98"/>
    <w:rsid w:val="00102214"/>
    <w:rsid w:val="00103201"/>
    <w:rsid w:val="001207C6"/>
    <w:rsid w:val="0018646F"/>
    <w:rsid w:val="001B7D0C"/>
    <w:rsid w:val="001D56D7"/>
    <w:rsid w:val="002F0E46"/>
    <w:rsid w:val="002F529A"/>
    <w:rsid w:val="00331E8C"/>
    <w:rsid w:val="003944C3"/>
    <w:rsid w:val="003A2E82"/>
    <w:rsid w:val="003D68C6"/>
    <w:rsid w:val="0040320F"/>
    <w:rsid w:val="004261BD"/>
    <w:rsid w:val="004300FA"/>
    <w:rsid w:val="00440813"/>
    <w:rsid w:val="0046155D"/>
    <w:rsid w:val="004A4EE8"/>
    <w:rsid w:val="004C1BC5"/>
    <w:rsid w:val="004D7F18"/>
    <w:rsid w:val="004E3B49"/>
    <w:rsid w:val="004E4E2D"/>
    <w:rsid w:val="004F0A9A"/>
    <w:rsid w:val="00503B1A"/>
    <w:rsid w:val="00521ADF"/>
    <w:rsid w:val="00521AF8"/>
    <w:rsid w:val="00554B71"/>
    <w:rsid w:val="005866A5"/>
    <w:rsid w:val="005F1FE4"/>
    <w:rsid w:val="00631E09"/>
    <w:rsid w:val="00650F6F"/>
    <w:rsid w:val="00654B42"/>
    <w:rsid w:val="006B3717"/>
    <w:rsid w:val="007256C5"/>
    <w:rsid w:val="007833A9"/>
    <w:rsid w:val="00792209"/>
    <w:rsid w:val="007A557D"/>
    <w:rsid w:val="007B385E"/>
    <w:rsid w:val="007D4C32"/>
    <w:rsid w:val="007E253D"/>
    <w:rsid w:val="007E5D75"/>
    <w:rsid w:val="007E649B"/>
    <w:rsid w:val="00803E7F"/>
    <w:rsid w:val="00830FFA"/>
    <w:rsid w:val="008563E6"/>
    <w:rsid w:val="00861A8D"/>
    <w:rsid w:val="00872CFF"/>
    <w:rsid w:val="008A3CA1"/>
    <w:rsid w:val="008A5D15"/>
    <w:rsid w:val="008C4FA7"/>
    <w:rsid w:val="008D0ADE"/>
    <w:rsid w:val="008D32F0"/>
    <w:rsid w:val="008E0803"/>
    <w:rsid w:val="0093534E"/>
    <w:rsid w:val="00936E35"/>
    <w:rsid w:val="00944EE1"/>
    <w:rsid w:val="00984741"/>
    <w:rsid w:val="009E44DD"/>
    <w:rsid w:val="009F1D5B"/>
    <w:rsid w:val="00A47EDA"/>
    <w:rsid w:val="00A67498"/>
    <w:rsid w:val="00A71A57"/>
    <w:rsid w:val="00A72B5E"/>
    <w:rsid w:val="00AE1503"/>
    <w:rsid w:val="00AF5CC7"/>
    <w:rsid w:val="00B147D3"/>
    <w:rsid w:val="00B32964"/>
    <w:rsid w:val="00B44A7F"/>
    <w:rsid w:val="00B677CC"/>
    <w:rsid w:val="00B97CC8"/>
    <w:rsid w:val="00BC1B06"/>
    <w:rsid w:val="00C3760E"/>
    <w:rsid w:val="00C51423"/>
    <w:rsid w:val="00C53DFE"/>
    <w:rsid w:val="00C71269"/>
    <w:rsid w:val="00CC428A"/>
    <w:rsid w:val="00CD6ABC"/>
    <w:rsid w:val="00DB1764"/>
    <w:rsid w:val="00DD6839"/>
    <w:rsid w:val="00E4486E"/>
    <w:rsid w:val="00E47028"/>
    <w:rsid w:val="00E54955"/>
    <w:rsid w:val="00E72347"/>
    <w:rsid w:val="00EA0064"/>
    <w:rsid w:val="00EC113C"/>
    <w:rsid w:val="00F22F54"/>
    <w:rsid w:val="00F22F62"/>
    <w:rsid w:val="00F9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0BD8248"/>
  <w15:chartTrackingRefBased/>
  <w15:docId w15:val="{BA979561-945E-41DC-A66B-47759DB7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49B"/>
  </w:style>
  <w:style w:type="paragraph" w:styleId="Footer">
    <w:name w:val="footer"/>
    <w:basedOn w:val="Normal"/>
    <w:link w:val="FooterChar"/>
    <w:uiPriority w:val="99"/>
    <w:unhideWhenUsed/>
    <w:rsid w:val="007E6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49B"/>
  </w:style>
  <w:style w:type="table" w:styleId="TableGrid">
    <w:name w:val="Table Grid"/>
    <w:basedOn w:val="TableNormal"/>
    <w:uiPriority w:val="59"/>
    <w:rsid w:val="007E6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2F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2F62"/>
    <w:pPr>
      <w:widowControl/>
      <w:suppressAutoHyphens w:val="0"/>
      <w:autoSpaceDE/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399</Words>
  <Characters>2059</Characters>
  <Application>Microsoft Office Word</Application>
  <DocSecurity>0</DocSecurity>
  <Lines>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Payson</dc:creator>
  <cp:keywords/>
  <dc:description/>
  <cp:lastModifiedBy>Robyn Payson</cp:lastModifiedBy>
  <cp:revision>3</cp:revision>
  <cp:lastPrinted>2024-11-01T14:37:00Z</cp:lastPrinted>
  <dcterms:created xsi:type="dcterms:W3CDTF">2024-11-01T14:48:00Z</dcterms:created>
  <dcterms:modified xsi:type="dcterms:W3CDTF">2024-11-01T15:21:00Z</dcterms:modified>
</cp:coreProperties>
</file>